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32"/>
          <w:lang w:val="en-US" w:eastAsia="zh-CN"/>
        </w:rPr>
      </w:pPr>
      <w:r>
        <w:rPr>
          <w:rFonts w:hint="eastAsia"/>
          <w:b/>
          <w:bCs/>
          <w:sz w:val="24"/>
          <w:szCs w:val="32"/>
          <w:lang w:val="en-US" w:eastAsia="zh-CN"/>
        </w:rPr>
        <w:t>案例分享：某制药企业水质监测项目</w:t>
      </w:r>
    </w:p>
    <w:p>
      <w:pPr>
        <w:spacing w:line="360" w:lineRule="auto"/>
        <w:rPr>
          <w:rFonts w:hint="eastAsia"/>
          <w:lang w:val="en-US" w:eastAsia="zh-CN"/>
        </w:rPr>
      </w:pPr>
    </w:p>
    <w:p>
      <w:pPr>
        <w:spacing w:line="360" w:lineRule="auto"/>
        <w:rPr>
          <w:rFonts w:hint="eastAsia"/>
          <w:b/>
          <w:bCs/>
          <w:lang w:val="en-US" w:eastAsia="zh-CN"/>
        </w:rPr>
      </w:pPr>
      <w:r>
        <w:rPr>
          <w:rFonts w:hint="eastAsia" w:ascii="宋体" w:hAnsi="宋体" w:eastAsia="宋体" w:cs="宋体"/>
          <w:b/>
          <w:bCs/>
          <w:lang w:val="en-US" w:eastAsia="zh-CN"/>
        </w:rPr>
        <w:t xml:space="preserve">◆ </w:t>
      </w:r>
      <w:r>
        <w:rPr>
          <w:rFonts w:hint="eastAsia"/>
          <w:b/>
          <w:bCs/>
          <w:lang w:val="en-US" w:eastAsia="zh-CN"/>
        </w:rPr>
        <w:t>背景概述</w:t>
      </w:r>
    </w:p>
    <w:p>
      <w:pPr>
        <w:spacing w:line="360" w:lineRule="auto"/>
        <w:ind w:firstLine="420" w:firstLineChars="0"/>
        <w:rPr>
          <w:rFonts w:hint="eastAsia"/>
          <w:lang w:val="en-US" w:eastAsia="zh-CN"/>
        </w:rPr>
      </w:pPr>
      <w:bookmarkStart w:id="0" w:name="_GoBack"/>
      <w:r>
        <w:rPr>
          <w:rFonts w:hint="eastAsia"/>
          <w:lang w:val="en-US" w:eastAsia="zh-CN"/>
        </w:rPr>
        <w:t>为进一步推进水污染的防治工作，贯彻党的政策和十八届二中、三中、四中全会对生态文明建设做出的部署，2015年以改善水环境质量为核心的“水十条”出台。之后习近平总书记也多次对生态文明建设做出重要指示，强调加强水意识，推进绿色生态的发展，全面加强水源涵养和水质保护，全面整治工业污染源，</w:t>
      </w:r>
      <w:r>
        <w:rPr>
          <w:rFonts w:hint="eastAsia" w:ascii="Arial" w:hAnsi="Arial" w:eastAsia="宋体" w:cs="Arial"/>
          <w:b w:val="0"/>
          <w:i w:val="0"/>
          <w:caps w:val="0"/>
          <w:color w:val="333333"/>
          <w:spacing w:val="0"/>
          <w:sz w:val="21"/>
          <w:szCs w:val="21"/>
          <w:shd w:val="clear" w:fill="FFFFFF"/>
        </w:rPr>
        <w:t>为建设“蓝天常在、青山常在、绿水常在”的美丽中国而奋斗。</w:t>
      </w:r>
    </w:p>
    <w:p>
      <w:pPr>
        <w:spacing w:line="360" w:lineRule="auto"/>
        <w:ind w:firstLine="420" w:firstLineChars="0"/>
        <w:rPr>
          <w:rFonts w:hint="eastAsia"/>
          <w:lang w:val="en-US" w:eastAsia="zh-CN"/>
        </w:rPr>
      </w:pPr>
      <w:r>
        <w:rPr>
          <w:rFonts w:hint="eastAsia"/>
          <w:lang w:val="en-US" w:eastAsia="zh-CN"/>
        </w:rPr>
        <w:t>国民工业体系中，污水废水排放严重的行业包括石油、矿山开采、电力行业、钢铁行业、化工行业、纺织行业、电镀行业、造纸行业、制药行业以及禽畜养殖业等，因此相关的企业对水质检测的需求较高。环境保护已经越来越受到国家的重视，狠抓环境质量，作为环境保护细分领域的水质检测行业，也受到了各级部门的重视。</w:t>
      </w:r>
    </w:p>
    <w:bookmarkEnd w:id="0"/>
    <w:p>
      <w:pPr>
        <w:spacing w:line="360" w:lineRule="auto"/>
        <w:ind w:firstLine="420" w:firstLineChars="0"/>
        <w:rPr>
          <w:rFonts w:hint="eastAsia"/>
          <w:lang w:val="en-US" w:eastAsia="zh-CN"/>
        </w:rPr>
      </w:pPr>
    </w:p>
    <w:p>
      <w:pPr>
        <w:spacing w:line="360" w:lineRule="auto"/>
        <w:rPr>
          <w:rFonts w:hint="eastAsia"/>
          <w:b/>
          <w:bCs/>
          <w:lang w:val="en-US" w:eastAsia="zh-CN"/>
        </w:rPr>
      </w:pPr>
      <w:r>
        <w:rPr>
          <w:rFonts w:hint="eastAsia" w:ascii="宋体" w:hAnsi="宋体" w:eastAsia="宋体" w:cs="宋体"/>
          <w:b/>
          <w:bCs/>
          <w:lang w:val="en-US" w:eastAsia="zh-CN"/>
        </w:rPr>
        <w:t xml:space="preserve">◆ </w:t>
      </w:r>
      <w:r>
        <w:rPr>
          <w:rFonts w:hint="eastAsia"/>
          <w:b/>
          <w:bCs/>
          <w:lang w:val="en-US" w:eastAsia="zh-CN"/>
        </w:rPr>
        <w:t>项目介绍</w:t>
      </w:r>
    </w:p>
    <w:p>
      <w:pPr>
        <w:spacing w:line="360" w:lineRule="auto"/>
        <w:ind w:firstLine="420" w:firstLineChars="0"/>
        <w:rPr>
          <w:rFonts w:hint="eastAsia"/>
          <w:lang w:val="en-US" w:eastAsia="zh-CN"/>
        </w:rPr>
      </w:pPr>
      <w:r>
        <w:rPr>
          <w:rFonts w:hint="eastAsia"/>
          <w:lang w:val="en-US" w:eastAsia="zh-CN"/>
        </w:rPr>
        <w:t>某制药企业是一家研究化学原料药生产企业。本项目为其厂区范围内综合废水监测工程，对该制药企业水处理的效果进行监督、评判。</w:t>
      </w:r>
    </w:p>
    <w:p>
      <w:pPr>
        <w:spacing w:line="360" w:lineRule="auto"/>
        <w:ind w:firstLine="420" w:firstLineChars="0"/>
        <w:rPr>
          <w:rFonts w:hint="eastAsia"/>
          <w:lang w:val="en-US" w:eastAsia="zh-CN"/>
        </w:rPr>
      </w:pPr>
      <w:r>
        <w:rPr>
          <w:rFonts w:hint="eastAsia"/>
          <w:lang w:val="en-US" w:eastAsia="zh-CN"/>
        </w:rPr>
        <w:t>根据环保局对废水污染物排放进行总量控制、安装在线监测系统的要求，拟在企业的总排水口取水点安装污染源自动监控系统。本项目建设拟选用我司提供的水质在线分析仪、数据采集仪及系统平台 ，对企业经过处理后排放的生产用水进行实时监测，并将实时监测数据上传到环保部门监测平台。实现相关环保部门对企业排水水质进行实时监管的目的。</w:t>
      </w:r>
    </w:p>
    <w:p>
      <w:pPr>
        <w:spacing w:line="360" w:lineRule="auto"/>
        <w:rPr>
          <w:rFonts w:hint="eastAsia"/>
          <w:lang w:val="en-US" w:eastAsia="zh-CN"/>
        </w:rPr>
      </w:pPr>
    </w:p>
    <w:p>
      <w:pPr>
        <w:spacing w:line="360" w:lineRule="auto"/>
        <w:rPr>
          <w:rFonts w:hint="eastAsia"/>
          <w:b/>
          <w:bCs/>
          <w:lang w:val="en-US" w:eastAsia="zh-CN"/>
        </w:rPr>
      </w:pPr>
      <w:r>
        <w:rPr>
          <w:rFonts w:hint="eastAsia" w:ascii="宋体" w:hAnsi="宋体" w:eastAsia="宋体" w:cs="宋体"/>
          <w:b/>
          <w:bCs/>
          <w:lang w:val="en-US" w:eastAsia="zh-CN"/>
        </w:rPr>
        <w:t xml:space="preserve">◆ </w:t>
      </w:r>
      <w:r>
        <w:rPr>
          <w:rFonts w:hint="eastAsia"/>
          <w:b/>
          <w:bCs/>
          <w:lang w:val="en-US" w:eastAsia="zh-CN"/>
        </w:rPr>
        <w:t>建设要求</w:t>
      </w:r>
    </w:p>
    <w:p>
      <w:pPr>
        <w:spacing w:line="360" w:lineRule="auto"/>
        <w:rPr>
          <w:rFonts w:hint="eastAsia"/>
          <w:lang w:val="en-US" w:eastAsia="zh-CN"/>
        </w:rPr>
      </w:pPr>
      <w:r>
        <w:rPr>
          <w:rFonts w:hint="eastAsia"/>
          <w:lang w:val="en-US" w:eastAsia="zh-CN"/>
        </w:rPr>
        <w:t>1)系统具有实用性、先进性、专业性、开放性、安全性、集成性和经济性。</w:t>
      </w:r>
    </w:p>
    <w:p>
      <w:pPr>
        <w:spacing w:line="360" w:lineRule="auto"/>
        <w:rPr>
          <w:rFonts w:hint="eastAsia"/>
          <w:lang w:val="en-US" w:eastAsia="zh-CN"/>
        </w:rPr>
      </w:pPr>
      <w:r>
        <w:rPr>
          <w:rFonts w:hint="eastAsia"/>
          <w:lang w:val="en-US" w:eastAsia="zh-CN"/>
        </w:rPr>
        <w:t>2)总体结构的先进性、合理性、兼容性和可扩展性。</w:t>
      </w:r>
    </w:p>
    <w:p>
      <w:pPr>
        <w:spacing w:line="360" w:lineRule="auto"/>
        <w:rPr>
          <w:rFonts w:hint="eastAsia"/>
          <w:lang w:val="en-US" w:eastAsia="zh-CN"/>
        </w:rPr>
      </w:pPr>
      <w:r>
        <w:rPr>
          <w:rFonts w:hint="eastAsia"/>
          <w:lang w:val="en-US" w:eastAsia="zh-CN"/>
        </w:rPr>
        <w:t>3)监测参数分析方法符合国家、行业有关技术标准和规范。</w:t>
      </w:r>
    </w:p>
    <w:p>
      <w:pPr>
        <w:spacing w:line="360" w:lineRule="auto"/>
        <w:rPr>
          <w:rFonts w:hint="eastAsia"/>
          <w:lang w:val="en-US" w:eastAsia="zh-CN"/>
        </w:rPr>
      </w:pPr>
      <w:r>
        <w:rPr>
          <w:rFonts w:hint="eastAsia"/>
          <w:lang w:val="en-US" w:eastAsia="zh-CN"/>
        </w:rPr>
        <w:t>4)监测数据准确、可靠。</w:t>
      </w:r>
    </w:p>
    <w:p>
      <w:pPr>
        <w:spacing w:line="360" w:lineRule="auto"/>
        <w:rPr>
          <w:rFonts w:hint="eastAsia"/>
          <w:lang w:val="en-US" w:eastAsia="zh-CN"/>
        </w:rPr>
      </w:pPr>
      <w:r>
        <w:rPr>
          <w:rFonts w:hint="eastAsia"/>
          <w:lang w:val="en-US" w:eastAsia="zh-CN"/>
        </w:rPr>
        <w:t>5)取样方式经济、合理，便于维护。</w:t>
      </w:r>
    </w:p>
    <w:p>
      <w:pPr>
        <w:spacing w:line="360" w:lineRule="auto"/>
        <w:rPr>
          <w:rFonts w:hint="eastAsia"/>
          <w:lang w:val="en-US" w:eastAsia="zh-CN"/>
        </w:rPr>
      </w:pPr>
      <w:r>
        <w:rPr>
          <w:rFonts w:hint="eastAsia"/>
          <w:lang w:val="en-US" w:eastAsia="zh-CN"/>
        </w:rPr>
        <w:t>6)具有良好的开放性、扩展性，便于维护及升级，为企业将来实现远程查看仪器数据预留接口。</w:t>
      </w:r>
    </w:p>
    <w:p>
      <w:pPr>
        <w:spacing w:line="360" w:lineRule="auto"/>
        <w:rPr>
          <w:rFonts w:hint="eastAsia"/>
          <w:lang w:val="en-US" w:eastAsia="zh-CN"/>
        </w:rPr>
      </w:pPr>
      <w:r>
        <w:rPr>
          <w:rFonts w:hint="eastAsia"/>
          <w:lang w:val="en-US" w:eastAsia="zh-CN"/>
        </w:rPr>
        <w:t>7)现场监测站房布局合理，安全防盗。</w:t>
      </w:r>
    </w:p>
    <w:p>
      <w:pPr>
        <w:spacing w:line="360" w:lineRule="auto"/>
        <w:rPr>
          <w:rFonts w:hint="eastAsia"/>
          <w:lang w:val="en-US" w:eastAsia="zh-CN"/>
        </w:rPr>
      </w:pPr>
      <w:r>
        <w:rPr>
          <w:rFonts w:hint="eastAsia"/>
          <w:lang w:val="en-US" w:eastAsia="zh-CN"/>
        </w:rPr>
        <w:t>8)······</w:t>
      </w:r>
    </w:p>
    <w:p>
      <w:pPr>
        <w:spacing w:line="360" w:lineRule="auto"/>
        <w:rPr>
          <w:rFonts w:hint="eastAsia"/>
          <w:lang w:val="en-US" w:eastAsia="zh-CN"/>
        </w:rPr>
      </w:pPr>
    </w:p>
    <w:p>
      <w:pPr>
        <w:spacing w:line="360" w:lineRule="auto"/>
        <w:rPr>
          <w:rFonts w:hint="eastAsia"/>
          <w:b/>
          <w:bCs/>
          <w:lang w:val="en-US" w:eastAsia="zh-CN"/>
        </w:rPr>
      </w:pPr>
      <w:r>
        <w:rPr>
          <w:rFonts w:hint="eastAsia" w:ascii="宋体" w:hAnsi="宋体" w:eastAsia="宋体" w:cs="宋体"/>
          <w:b/>
          <w:bCs/>
          <w:lang w:val="en-US" w:eastAsia="zh-CN"/>
        </w:rPr>
        <w:t xml:space="preserve">◆ </w:t>
      </w:r>
      <w:r>
        <w:rPr>
          <w:rFonts w:hint="eastAsia"/>
          <w:b/>
          <w:bCs/>
          <w:lang w:val="en-US" w:eastAsia="zh-CN"/>
        </w:rPr>
        <w:t>方案设计</w:t>
      </w:r>
    </w:p>
    <w:p>
      <w:pPr>
        <w:spacing w:line="360" w:lineRule="auto"/>
        <w:ind w:firstLine="420" w:firstLineChars="0"/>
        <w:rPr>
          <w:rFonts w:hint="eastAsia"/>
          <w:lang w:val="en-US" w:eastAsia="zh-CN"/>
        </w:rPr>
      </w:pPr>
      <w:r>
        <w:rPr>
          <w:rFonts w:hint="eastAsia"/>
          <w:lang w:val="en-US" w:eastAsia="zh-CN"/>
        </w:rPr>
        <w:t>为了确保测量数据的准确性、在线监测系统的长期稳定性、可靠性及低成本运行，并结合企业实际情况，本案选用系统由系统软件、水质在线自动分析仪及数据采集仪组成，可实时、定时对处理后污水进行监测监控，并通过智能环保监控仪对数据进行整理、存储、上传，同时将数据传送到环保局监控中心。</w:t>
      </w:r>
    </w:p>
    <w:p>
      <w:pPr>
        <w:spacing w:line="360" w:lineRule="auto"/>
        <w:rPr>
          <w:rFonts w:hint="eastAsia"/>
          <w:lang w:val="en-US" w:eastAsia="zh-CN"/>
        </w:rPr>
      </w:pPr>
    </w:p>
    <w:p>
      <w:pPr>
        <w:spacing w:line="360" w:lineRule="auto"/>
        <w:ind w:firstLine="211" w:firstLineChars="100"/>
        <w:rPr>
          <w:rFonts w:hint="eastAsia"/>
          <w:b/>
          <w:bCs/>
          <w:lang w:val="en-US" w:eastAsia="zh-CN"/>
        </w:rPr>
      </w:pPr>
      <w:r>
        <w:rPr>
          <w:rFonts w:hint="eastAsia"/>
          <w:b/>
          <w:bCs/>
          <w:lang w:val="en-US" w:eastAsia="zh-CN"/>
        </w:rPr>
        <w:t>·水质采样</w:t>
      </w:r>
    </w:p>
    <w:p>
      <w:pPr>
        <w:spacing w:line="360" w:lineRule="auto"/>
        <w:ind w:firstLine="420" w:firstLineChars="0"/>
        <w:rPr>
          <w:rFonts w:hint="eastAsia"/>
          <w:lang w:val="en-US" w:eastAsia="zh-CN"/>
        </w:rPr>
      </w:pPr>
      <w:r>
        <w:rPr>
          <w:rFonts w:hint="eastAsia"/>
          <w:lang w:val="en-US" w:eastAsia="zh-CN"/>
        </w:rPr>
        <w:t>水质采样单元在水质在线监测站房建设中占有绝对重要的地位，采样单元必须保证向整个系统提供可靠、有效的水样，采水单元设计和实施必须根据现场情况采取具体的措施。从采样点给仪器输送水样的水泵，其功率应使被测水体输送到仪器处的流量不小于50升/分钟, 不大于200升/分钟为宜。通常采样点与仪器的距离小于20米时，选用350W的潜水泵。当采样点与仪器的距离大于20米时，应选用550-750W的潜水泵，另还应根据水样的腐蚀性考虑是否选用耐腐蚀泵。</w:t>
      </w:r>
    </w:p>
    <w:p>
      <w:pPr>
        <w:spacing w:line="360" w:lineRule="auto"/>
        <w:rPr>
          <w:rFonts w:hint="eastAsia"/>
          <w:lang w:eastAsia="zh-CN"/>
        </w:rPr>
      </w:pPr>
      <w:r>
        <w:rPr>
          <w:rFonts w:hint="eastAsia"/>
          <w:lang w:eastAsia="zh-CN"/>
        </w:rPr>
        <w:drawing>
          <wp:inline distT="0" distB="0" distL="114300" distR="114300">
            <wp:extent cx="5160645" cy="2701925"/>
            <wp:effectExtent l="0" t="0" r="1905" b="3175"/>
            <wp:docPr id="1" name="图片 1" descr="72574c655f695c688b7615dcf36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574c655f695c688b7615dcf362139"/>
                    <pic:cNvPicPr>
                      <a:picLocks noChangeAspect="1"/>
                    </pic:cNvPicPr>
                  </pic:nvPicPr>
                  <pic:blipFill>
                    <a:blip r:embed="rId4"/>
                    <a:srcRect t="24030" b="46522"/>
                    <a:stretch>
                      <a:fillRect/>
                    </a:stretch>
                  </pic:blipFill>
                  <pic:spPr>
                    <a:xfrm>
                      <a:off x="0" y="0"/>
                      <a:ext cx="5160645" cy="2701925"/>
                    </a:xfrm>
                    <a:prstGeom prst="rect">
                      <a:avLst/>
                    </a:prstGeom>
                    <a:noFill/>
                    <a:ln w="9525">
                      <a:noFill/>
                    </a:ln>
                  </pic:spPr>
                </pic:pic>
              </a:graphicData>
            </a:graphic>
          </wp:inline>
        </w:drawing>
      </w:r>
    </w:p>
    <w:p>
      <w:pPr>
        <w:spacing w:line="360" w:lineRule="auto"/>
        <w:jc w:val="center"/>
        <w:rPr>
          <w:rFonts w:hint="eastAsia"/>
          <w:sz w:val="18"/>
          <w:szCs w:val="21"/>
          <w:lang w:val="en-US" w:eastAsia="zh-CN"/>
        </w:rPr>
      </w:pPr>
      <w:r>
        <w:rPr>
          <w:rFonts w:hint="eastAsia"/>
          <w:sz w:val="18"/>
          <w:szCs w:val="21"/>
          <w:lang w:val="en-US" w:eastAsia="zh-CN"/>
        </w:rPr>
        <w:t>采样用蓄水池设计</w:t>
      </w:r>
    </w:p>
    <w:p>
      <w:pPr>
        <w:spacing w:line="360" w:lineRule="auto"/>
        <w:ind w:firstLine="211" w:firstLineChars="100"/>
        <w:rPr>
          <w:rFonts w:hint="eastAsia"/>
          <w:b/>
          <w:bCs/>
          <w:lang w:val="en-US" w:eastAsia="zh-CN"/>
        </w:rPr>
      </w:pPr>
      <w:r>
        <w:rPr>
          <w:rFonts w:hint="eastAsia"/>
          <w:b/>
          <w:bCs/>
          <w:lang w:val="en-US" w:eastAsia="zh-CN"/>
        </w:rPr>
        <w:t>·管路铺设</w:t>
      </w:r>
    </w:p>
    <w:p>
      <w:pPr>
        <w:numPr>
          <w:ilvl w:val="0"/>
          <w:numId w:val="1"/>
        </w:numPr>
        <w:spacing w:line="360" w:lineRule="auto"/>
        <w:rPr>
          <w:rFonts w:hint="eastAsia"/>
          <w:lang w:val="en-US" w:eastAsia="zh-CN"/>
        </w:rPr>
      </w:pPr>
      <w:r>
        <w:rPr>
          <w:rFonts w:hint="eastAsia"/>
          <w:lang w:val="en-US" w:eastAsia="zh-CN"/>
        </w:rPr>
        <w:t>采样点至仪器安装处应预先安装好采样水泵、电线穿线管、水样进水管、出水管、信号线穿线管。</w:t>
      </w:r>
    </w:p>
    <w:p>
      <w:pPr>
        <w:numPr>
          <w:ilvl w:val="0"/>
          <w:numId w:val="0"/>
        </w:numPr>
        <w:spacing w:line="360" w:lineRule="auto"/>
        <w:rPr>
          <w:rFonts w:hint="eastAsia"/>
          <w:lang w:val="en-US" w:eastAsia="zh-CN"/>
        </w:rPr>
      </w:pPr>
      <w:r>
        <w:rPr>
          <w:rFonts w:hint="eastAsia"/>
          <w:lang w:val="en-US" w:eastAsia="zh-CN"/>
        </w:rPr>
        <w:t>2）水路由循环水路和逆流管路组成。其中循环水路是用采样水泵供给的水路，管内满管且有一定的压力；逆流管路为流经水样预处理装置的水路，必须保证管内无压排放。</w:t>
      </w:r>
    </w:p>
    <w:p>
      <w:pPr>
        <w:spacing w:line="360" w:lineRule="auto"/>
        <w:rPr>
          <w:rFonts w:hint="eastAsia"/>
          <w:lang w:val="en-US" w:eastAsia="zh-CN"/>
        </w:rPr>
      </w:pPr>
      <w:r>
        <w:rPr>
          <w:rFonts w:hint="eastAsia"/>
          <w:lang w:val="en-US" w:eastAsia="zh-CN"/>
        </w:rPr>
        <w:t>3）水路的安装：循环水路（进水样）由采集点至监测站房内的水样预处理装置的相应接口；循环水路（回水样）由监测站房内的水样预处理装置的相应接口至采样点（或就近合理排放）；逆流管路（无压排放）由监测站房内的水样预处理装置的相应接口至附近排水管道。</w:t>
      </w:r>
    </w:p>
    <w:p>
      <w:pPr>
        <w:spacing w:line="360" w:lineRule="auto"/>
        <w:rPr>
          <w:rFonts w:hint="eastAsia"/>
          <w:lang w:val="en-US" w:eastAsia="zh-CN"/>
        </w:rPr>
      </w:pPr>
      <w:r>
        <w:rPr>
          <w:rFonts w:hint="eastAsia"/>
          <w:lang w:val="en-US" w:eastAsia="zh-CN"/>
        </w:rPr>
        <w:t>4）采样水泵的选择：选用采样水泵时应结合输送水样的距离及水质有无腐蚀性等方面进行选择，一般短距离选用750W的自吸泵即可。</w:t>
      </w:r>
    </w:p>
    <w:p>
      <w:pPr>
        <w:spacing w:line="360" w:lineRule="auto"/>
        <w:rPr>
          <w:rFonts w:hint="eastAsia"/>
          <w:lang w:val="en-US" w:eastAsia="zh-CN"/>
        </w:rPr>
      </w:pPr>
      <w:r>
        <w:rPr>
          <w:rFonts w:hint="eastAsia"/>
          <w:lang w:val="en-US" w:eastAsia="zh-CN"/>
        </w:rPr>
        <w:t>5）采样水泵电源电缆必须由监测房内供电，以便监测房内的水样预处理装置对其工作状态进行控制。连接距离由采样水泵接线端子开始至监测房内的水样预处理装置的远近来决定。</w:t>
      </w:r>
    </w:p>
    <w:p>
      <w:pPr>
        <w:spacing w:line="360" w:lineRule="auto"/>
        <w:rPr>
          <w:rFonts w:hint="eastAsia"/>
          <w:lang w:val="en-US" w:eastAsia="zh-CN"/>
        </w:rPr>
      </w:pPr>
    </w:p>
    <w:p>
      <w:pPr>
        <w:spacing w:line="360" w:lineRule="auto"/>
        <w:ind w:firstLine="211" w:firstLineChars="100"/>
        <w:rPr>
          <w:rFonts w:hint="eastAsia"/>
          <w:b/>
          <w:bCs/>
          <w:lang w:val="en-US" w:eastAsia="zh-CN"/>
        </w:rPr>
      </w:pPr>
      <w:r>
        <w:rPr>
          <w:rFonts w:hint="eastAsia"/>
          <w:b/>
          <w:bCs/>
          <w:lang w:val="en-US" w:eastAsia="zh-CN"/>
        </w:rPr>
        <w:t>·保温与防冻</w:t>
      </w:r>
    </w:p>
    <w:p>
      <w:pPr>
        <w:spacing w:line="360" w:lineRule="auto"/>
        <w:ind w:firstLine="420" w:firstLineChars="0"/>
        <w:jc w:val="both"/>
        <w:rPr>
          <w:rFonts w:hint="eastAsia"/>
          <w:lang w:val="en-US" w:eastAsia="zh-CN"/>
        </w:rPr>
      </w:pPr>
      <w:r>
        <w:rPr>
          <w:rFonts w:hint="eastAsia"/>
          <w:lang w:val="en-US" w:eastAsia="zh-CN"/>
        </w:rPr>
        <w:t>考虑管路的保温，将管路用保温材料（壁厚为2cm的聚乙烯保温套管）包裹，减少环境温度对水温的影响。另外，将管路套装在抗压防护材料中（或修砌混凝土沟渠）深埋于冻土层以下，用以管路防冻。必要时在采样管路要增加伴热带以防止管路结冻。</w:t>
      </w:r>
    </w:p>
    <w:p>
      <w:pPr>
        <w:spacing w:line="360" w:lineRule="auto"/>
        <w:rPr>
          <w:rFonts w:hint="eastAsia"/>
          <w:lang w:val="en-US" w:eastAsia="zh-CN"/>
        </w:rPr>
      </w:pPr>
    </w:p>
    <w:p>
      <w:pPr>
        <w:spacing w:line="360" w:lineRule="auto"/>
        <w:rPr>
          <w:rFonts w:hint="eastAsia"/>
          <w:b/>
          <w:bCs/>
          <w:lang w:val="en-US" w:eastAsia="zh-CN"/>
        </w:rPr>
      </w:pPr>
      <w:r>
        <w:rPr>
          <w:rFonts w:hint="eastAsia" w:ascii="宋体" w:hAnsi="宋体" w:eastAsia="宋体" w:cs="宋体"/>
          <w:b/>
          <w:bCs/>
          <w:lang w:val="en-US" w:eastAsia="zh-CN"/>
        </w:rPr>
        <w:t xml:space="preserve">◆ </w:t>
      </w:r>
      <w:r>
        <w:rPr>
          <w:rFonts w:hint="eastAsia"/>
          <w:b/>
          <w:bCs/>
          <w:lang w:val="en-US" w:eastAsia="zh-CN"/>
        </w:rPr>
        <w:t>站房建设</w:t>
      </w:r>
    </w:p>
    <w:p>
      <w:pPr>
        <w:spacing w:line="360" w:lineRule="auto"/>
        <w:ind w:firstLine="420" w:firstLineChars="0"/>
        <w:rPr>
          <w:rFonts w:hint="eastAsia"/>
          <w:lang w:val="en-US" w:eastAsia="zh-CN"/>
        </w:rPr>
      </w:pPr>
      <w:r>
        <w:rPr>
          <w:rFonts w:hint="eastAsia"/>
          <w:lang w:val="en-US" w:eastAsia="zh-CN"/>
        </w:rPr>
        <w:t>生态环境部要求，水站建设是实现水质预警、及时防范水污染风险的重要手段。事实上，水生态环境信息的准确性，是治水投入和治理措施有效性的指南针，国家考核、国家监测，将是未来包括水质监测在内的环境质量监测主思路。</w:t>
      </w:r>
    </w:p>
    <w:p>
      <w:pPr>
        <w:spacing w:line="360" w:lineRule="auto"/>
        <w:ind w:firstLine="420" w:firstLineChars="0"/>
        <w:rPr>
          <w:rFonts w:hint="eastAsia"/>
          <w:lang w:val="en-US" w:eastAsia="zh-CN"/>
        </w:rPr>
      </w:pPr>
      <w:r>
        <w:rPr>
          <w:rFonts w:hint="eastAsia"/>
          <w:lang w:val="en-US" w:eastAsia="zh-CN"/>
        </w:rPr>
        <w:t>为贯彻落实《国家重点监控企业污染源自动监测数据有效性审核办法》和《国家重点监控企业污染源自动监测设备监督考核规程》（环发〔2009〕88号）等有关规定，规范国家重点监控企业污染源自动监测设备监督考核合格管理办法。给水质分析仪提供一个合适的工作环境，按照水污染在线监测系统安装技术规范（试行）-HJ/T353-2007的要求，需要企业专门设置水质在线监测站房及配套设备。</w:t>
      </w:r>
    </w:p>
    <w:p>
      <w:pPr>
        <w:spacing w:line="360" w:lineRule="auto"/>
        <w:ind w:firstLine="211" w:firstLineChars="100"/>
        <w:rPr>
          <w:rFonts w:hint="eastAsia"/>
          <w:b/>
          <w:bCs/>
          <w:lang w:val="en-US" w:eastAsia="zh-CN"/>
        </w:rPr>
      </w:pPr>
      <w:r>
        <w:rPr>
          <w:rFonts w:hint="eastAsia"/>
          <w:b/>
          <w:bCs/>
          <w:lang w:val="en-US" w:eastAsia="zh-CN"/>
        </w:rPr>
        <w:t>·建设要求</w:t>
      </w:r>
    </w:p>
    <w:p>
      <w:pPr>
        <w:spacing w:line="360" w:lineRule="auto"/>
        <w:rPr>
          <w:rFonts w:hint="eastAsia"/>
          <w:lang w:val="en-US" w:eastAsia="zh-CN"/>
        </w:rPr>
      </w:pPr>
      <w:r>
        <w:rPr>
          <w:rFonts w:hint="eastAsia"/>
          <w:lang w:val="en-US" w:eastAsia="zh-CN"/>
        </w:rPr>
        <w:t xml:space="preserve">1）位置：监测站房应建在监测点位附近，距离不大于50米，在10米以内为佳，并且站房区域没有振动、噪声、强磁场、通讯盲区，对仪器的测量及数采仪的数据传输无影响，同时监测站房的设置不会对企业安全生产和环境造成影响。  </w:t>
      </w:r>
    </w:p>
    <w:p>
      <w:pPr>
        <w:spacing w:line="360" w:lineRule="auto"/>
        <w:rPr>
          <w:rFonts w:hint="eastAsia"/>
          <w:lang w:val="en-US" w:eastAsia="zh-CN"/>
        </w:rPr>
      </w:pPr>
      <w:r>
        <w:rPr>
          <w:rFonts w:hint="eastAsia"/>
          <w:lang w:val="en-US" w:eastAsia="zh-CN"/>
        </w:rPr>
        <w:t>2）构筑材料：按一般民用建筑的有关规定要求设计，结构材料符合监测用房的安全要求。可采用集装箱改造站房，留有门窗，做到空气流通良好。</w:t>
      </w:r>
    </w:p>
    <w:p>
      <w:pPr>
        <w:spacing w:line="360" w:lineRule="auto"/>
        <w:rPr>
          <w:rFonts w:hint="eastAsia"/>
          <w:lang w:val="en-US" w:eastAsia="zh-CN"/>
        </w:rPr>
      </w:pPr>
      <w:r>
        <w:rPr>
          <w:rFonts w:hint="eastAsia"/>
          <w:lang w:val="en-US" w:eastAsia="zh-CN"/>
        </w:rPr>
        <w:t xml:space="preserve">3）屋内环境：室内设空调，保证室内清洁，环境温度、相对湿度和大气压等应符合ZBY120-83的要求，仪器正视方位不得有阳光直射，即室温约10-35℃、相对湿度75%以下、通风良好、无强震动和磁场干扰。  </w:t>
      </w:r>
    </w:p>
    <w:p>
      <w:pPr>
        <w:spacing w:line="360" w:lineRule="auto"/>
        <w:rPr>
          <w:rFonts w:hint="eastAsia"/>
          <w:lang w:val="en-US" w:eastAsia="zh-CN"/>
        </w:rPr>
      </w:pPr>
      <w:r>
        <w:rPr>
          <w:rFonts w:hint="eastAsia"/>
          <w:lang w:val="en-US" w:eastAsia="zh-CN"/>
        </w:rPr>
        <w:t xml:space="preserve">4）防雷：设接地线路，接地电阻&lt;4Ω。  </w:t>
      </w:r>
    </w:p>
    <w:p>
      <w:pPr>
        <w:spacing w:line="360" w:lineRule="auto"/>
        <w:rPr>
          <w:rFonts w:hint="eastAsia"/>
          <w:lang w:val="en-US" w:eastAsia="zh-CN"/>
        </w:rPr>
      </w:pPr>
      <w:r>
        <w:rPr>
          <w:rFonts w:hint="eastAsia"/>
          <w:lang w:val="en-US" w:eastAsia="zh-CN"/>
        </w:rPr>
        <w:t xml:space="preserve">5）防水：集装箱改造站房安放位置高于地面，做到良好防水。  </w:t>
      </w:r>
    </w:p>
    <w:p>
      <w:pPr>
        <w:spacing w:line="360" w:lineRule="auto"/>
        <w:rPr>
          <w:rFonts w:hint="eastAsia"/>
          <w:lang w:val="en-US" w:eastAsia="zh-CN"/>
        </w:rPr>
      </w:pPr>
      <w:r>
        <w:rPr>
          <w:rFonts w:hint="eastAsia"/>
          <w:lang w:val="en-US" w:eastAsia="zh-CN"/>
        </w:rPr>
        <w:t xml:space="preserve">6）供电：监测站房内有安全合格的配电设备，接入220V、频率50 Hz交流电，总功率为10kw。五芯橡套电缆（6mm2）经地下埋镀锌管引入屋内。电源引入线使用照明电源，电源设明显标志，防止工作人员意外断电；接地线设明显标志。站房电源设置系统总开关。所有电线加硬质保护管贴墙壁铺设。室内顶部安装40w白炽灯，满足照明要求。 </w:t>
      </w:r>
    </w:p>
    <w:p>
      <w:pPr>
        <w:spacing w:line="360" w:lineRule="auto"/>
        <w:rPr>
          <w:rFonts w:hint="eastAsia"/>
          <w:lang w:val="en-US" w:eastAsia="zh-CN"/>
        </w:rPr>
      </w:pPr>
      <w:r>
        <w:rPr>
          <w:rFonts w:hint="eastAsia"/>
          <w:lang w:val="en-US" w:eastAsia="zh-CN"/>
        </w:rPr>
        <w:t xml:space="preserve">7）防火：监测室内设干粉灭火器一只放于进门处的明显位置。  </w:t>
      </w:r>
    </w:p>
    <w:p>
      <w:pPr>
        <w:spacing w:line="360" w:lineRule="auto"/>
        <w:rPr>
          <w:rFonts w:hint="eastAsia"/>
          <w:lang w:val="en-US" w:eastAsia="zh-CN"/>
        </w:rPr>
      </w:pPr>
      <w:r>
        <w:rPr>
          <w:rFonts w:hint="eastAsia"/>
          <w:lang w:val="en-US" w:eastAsia="zh-CN"/>
        </w:rPr>
        <w:t>8）辅助设施：工作台、桌、椅等。</w:t>
      </w:r>
    </w:p>
    <w:p>
      <w:pPr>
        <w:spacing w:line="360" w:lineRule="auto"/>
        <w:rPr>
          <w:rFonts w:hint="eastAsia"/>
          <w:lang w:val="en-US" w:eastAsia="zh-CN"/>
        </w:rPr>
      </w:pPr>
      <w:r>
        <w:rPr>
          <w:rFonts w:hint="eastAsia"/>
          <w:lang w:val="en-US" w:eastAsia="zh-CN"/>
        </w:rPr>
        <w:t>9）监测站房也可由现场的房间略作改造，在改造过程中，除要满足上述8点要求外，还需为水样预处理系统预留一些必要的孔位，以方便管路的敷设及接入。</w:t>
      </w:r>
    </w:p>
    <w:p>
      <w:pPr>
        <w:spacing w:line="360" w:lineRule="auto"/>
        <w:rPr>
          <w:rFonts w:hint="eastAsia"/>
          <w:lang w:val="en-US" w:eastAsia="zh-CN"/>
        </w:rPr>
      </w:pPr>
      <w:r>
        <w:rPr>
          <w:rFonts w:hint="eastAsia"/>
          <w:lang w:val="en-GB"/>
        </w:rPr>
        <w:drawing>
          <wp:inline distT="0" distB="0" distL="114300" distR="114300">
            <wp:extent cx="5647690" cy="3924935"/>
            <wp:effectExtent l="0" t="0" r="1016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647690" cy="3924935"/>
                    </a:xfrm>
                    <a:prstGeom prst="rect">
                      <a:avLst/>
                    </a:prstGeom>
                    <a:noFill/>
                    <a:ln w="9525">
                      <a:noFill/>
                    </a:ln>
                  </pic:spPr>
                </pic:pic>
              </a:graphicData>
            </a:graphic>
          </wp:inline>
        </w:drawing>
      </w:r>
    </w:p>
    <w:p>
      <w:pPr>
        <w:spacing w:line="360" w:lineRule="auto"/>
        <w:rPr>
          <w:rFonts w:hint="eastAsia"/>
          <w:b/>
          <w:bCs/>
          <w:lang w:val="en-US" w:eastAsia="zh-CN"/>
        </w:rPr>
      </w:pPr>
      <w:r>
        <w:rPr>
          <w:rFonts w:hint="eastAsia" w:ascii="宋体" w:hAnsi="宋体" w:eastAsia="宋体" w:cs="宋体"/>
          <w:b/>
          <w:bCs/>
          <w:lang w:val="en-US" w:eastAsia="zh-CN"/>
        </w:rPr>
        <w:t>◆ 完成效果</w:t>
      </w:r>
    </w:p>
    <w:p>
      <w:pPr>
        <w:spacing w:line="360" w:lineRule="auto"/>
        <w:rPr>
          <w:rFonts w:hint="eastAsia"/>
          <w:lang w:val="en-US" w:eastAsia="zh-CN"/>
        </w:rPr>
      </w:pPr>
      <w:r>
        <w:rPr>
          <w:rFonts w:hint="eastAsia"/>
          <w:lang w:val="en-US" w:eastAsia="zh-CN"/>
        </w:rPr>
        <w:drawing>
          <wp:inline distT="0" distB="0" distL="114300" distR="114300">
            <wp:extent cx="5273675" cy="3955415"/>
            <wp:effectExtent l="0" t="0" r="3175" b="6985"/>
            <wp:docPr id="5" name="图片 5" descr="66bfc1a85f8644edc3a4f8a56a7e6ae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bfc1a85f8644edc3a4f8a56a7e6ae_看图王"/>
                    <pic:cNvPicPr>
                      <a:picLocks noChangeAspect="1"/>
                    </pic:cNvPicPr>
                  </pic:nvPicPr>
                  <pic:blipFill>
                    <a:blip r:embed="rId6"/>
                    <a:stretch>
                      <a:fillRect/>
                    </a:stretch>
                  </pic:blipFill>
                  <pic:spPr>
                    <a:xfrm>
                      <a:off x="0" y="0"/>
                      <a:ext cx="5273675"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C32E"/>
    <w:multiLevelType w:val="singleLevel"/>
    <w:tmpl w:val="0A10C3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43726"/>
    <w:rsid w:val="0D236A0D"/>
    <w:rsid w:val="0EA3557F"/>
    <w:rsid w:val="1B6E23A7"/>
    <w:rsid w:val="24E00BAF"/>
    <w:rsid w:val="28CF4F81"/>
    <w:rsid w:val="38D751AB"/>
    <w:rsid w:val="4AED4C2A"/>
    <w:rsid w:val="6A757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zysd</dc:creator>
  <cp:lastModifiedBy>喜鹊</cp:lastModifiedBy>
  <dcterms:modified xsi:type="dcterms:W3CDTF">2021-04-06T15:33:41Z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